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71FB2">
                  <w:pPr>
                    <w:spacing w:after="240"/>
                    <w:jc w:val="center"/>
                    <w:rPr>
                      <w:rFonts w:ascii="Arial" w:eastAsia="Times New Roman" w:hAnsi="Arial" w:cs="Arial"/>
                      <w:caps/>
                      <w:sz w:val="21"/>
                      <w:szCs w:val="21"/>
                    </w:rPr>
                  </w:pPr>
                  <w:bookmarkStart w:id="0" w:name="_GoBack"/>
                  <w:bookmarkEnd w:id="0"/>
                  <w:r>
                    <w:rPr>
                      <w:rFonts w:ascii="Arial" w:eastAsia="Times New Roman" w:hAnsi="Arial" w:cs="Arial"/>
                      <w:b/>
                      <w:bCs/>
                      <w:caps/>
                      <w:sz w:val="21"/>
                      <w:szCs w:val="21"/>
                    </w:rPr>
                    <w:t xml:space="preserve">Acordo Coletivo De Trabalho 2022/2023 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  <w:gridCol w:w="150"/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71FB2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DE REGISTRO NO MTE: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671FB2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71FB2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SP009081/2022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71FB2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DATA DE REGISTRO NO MTE: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671FB2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71FB2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26/09/2022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71FB2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DA SOLICITAÇÃO: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671FB2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71FB2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MR041338/2022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71FB2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DO PROCESSO: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671FB2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71FB2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19964.112865/2022-71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71FB2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DATA DO PROTOCOLO: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671FB2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71FB2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22/08/2022 </w:t>
                        </w:r>
                      </w:p>
                    </w:tc>
                  </w:tr>
                </w:tbl>
                <w:p w:rsidR="00000000" w:rsidRDefault="00671FB2">
                  <w:pPr>
                    <w:rPr>
                      <w:rFonts w:eastAsia="Times New Roman"/>
                    </w:rPr>
                  </w:pPr>
                </w:p>
                <w:p w:rsidR="00000000" w:rsidRDefault="00671FB2">
                  <w:pPr>
                    <w:pStyle w:val="NormalWeb"/>
                  </w:pPr>
                  <w:r>
                    <w:rPr>
                      <w:b/>
                      <w:bCs/>
                    </w:rPr>
                    <w:t>Confira a autenticidade no endereço http://www3.mte.gov.br/sistemas/mediador/.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000000" w:rsidRDefault="00671FB2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SIND.EMPR.ENT.SIND.DE SA,SBC,SCS,DIAD.,MC,SUZ.,M,RP, , CNPJ n. 71.531.636/0001-08, neste ato representado(a) por seu ;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SIND DOS TRAB NAS EMPR DE REF COL DE SUZANO E RE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GIAO E TRAB NAS EMPR FORN DE REF PARA AER DO MUNICIPIO DE GUARULHOS, CNPJ n. 01.511.780/0001-05, neste ato representado(a) por seu ;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 xml:space="preserve">celebram o presente ACORDO COLETIVO DE TRABALHO, estipulando as condições de trabalho previstas nas cláusulas seguintes: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CLÁUSULA PRIMEIRA - VIGÊNCIA E DATA-BASE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As partes fixam a vigência do presente Acordo Coletivo de Trabalho no período de 01º de setembro de 2022 a 31 de agosto de 2023 e a data-base da categoria em 01º de setembro.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CLÁUSULA SEGUNDA - ABRANGÊNCIA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O presente Acordo Coletivo de Trabalho, aplicável no âmbito da(s) empresa(s) acordante(s), abrangerá a(s) categoria(s)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Empregados em entidades Sindicais exceto Empregados em Entidade Sindicais Patronais da Industria e em Associações Civis da Industria e Em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pregados em Entidade Sindicais do Comercio do Estado de São Paulo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, com abrangência territorial em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Suzano/SP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000000" w:rsidRDefault="00671FB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Salários, Reajustes e Pagamento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Piso Salarial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TERCEIRA - PISO SALARIAL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Piso salarial minimo é de R$ 1.811,00(hum mil e oitocent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os e onze reais) aplicação de 12% (doze por cento).</w:t>
                  </w:r>
                </w:p>
                <w:p w:rsidR="00000000" w:rsidRDefault="00671FB2">
                  <w:pPr>
                    <w:divId w:val="39100384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divId w:val="2021932902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divId w:val="1046181416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671FB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Reajustes/Correções Salariais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QUARTA - SALÁRIO ADMISSIONAL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Garantia ao empregado admitido para função de outro, dispensado, sem justa causa de igual salário ao do empregador de meno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 salário na função, sem considerar vantagens pessoais.</w:t>
                  </w:r>
                </w:p>
                <w:p w:rsidR="00000000" w:rsidRDefault="00671FB2">
                  <w:pPr>
                    <w:divId w:val="399790466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divId w:val="384566679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QUINTA - CORREÇÃO SALARIAL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 partir de 1º de setembro de 2022, será concedido um reajuste salarial de 12% (deze por cento), para todos os trabalhadores da entidade sindical.</w:t>
                  </w:r>
                </w:p>
                <w:p w:rsidR="00000000" w:rsidRDefault="00671FB2">
                  <w:pPr>
                    <w:divId w:val="243146024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divId w:val="109711065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divId w:val="964196013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SEXTA - ADICIONAL NOTURNO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Pagamento de 50% (cinquenta por cento) de adicional para trabalho prestado entre 22:00 e 5:00 horas</w:t>
                  </w:r>
                </w:p>
                <w:p w:rsidR="00000000" w:rsidRDefault="00671FB2">
                  <w:pPr>
                    <w:divId w:val="2087994373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divId w:val="374741634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SÉTIMA - QUADRO DE AVISOS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Fixação de quadro de avisos no local da prestação de serviços.</w:t>
                  </w:r>
                </w:p>
                <w:p w:rsidR="00000000" w:rsidRDefault="00671FB2">
                  <w:pPr>
                    <w:divId w:val="2061324067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divId w:val="137189419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divId w:val="485703056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LÁUSULA OITAVA - SALÁRIO SUBSTITUTO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Garantia ao empregado substituto do mesmo salário percebido pelo empregado substituído.</w:t>
                  </w:r>
                </w:p>
                <w:p w:rsidR="00000000" w:rsidRDefault="00671FB2">
                  <w:pPr>
                    <w:divId w:val="1322546027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NONA - ATESTADOS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Reconhecimento pela entidade de atestado médicos fornecido pela entidade e odontológicos,sendo q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ue devem ser entreges em 24horas.</w:t>
                  </w:r>
                </w:p>
                <w:p w:rsidR="00000000" w:rsidRDefault="00671FB2">
                  <w:pPr>
                    <w:divId w:val="2120176259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divId w:val="2098095894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divId w:val="1458990594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671FB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Pagamento de Salário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Formas e Prazos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- COMPROVANTE DE PAGAMENTO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Fornecimento de comprovante de pagamento, com a discriminação das importâncias pagas e descontos efetuados, contendo a identif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icação da entidade e o reconhecimento do FGTS.</w:t>
                  </w:r>
                </w:p>
                <w:p w:rsidR="00000000" w:rsidRDefault="00671FB2">
                  <w:pPr>
                    <w:divId w:val="1627158112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divId w:val="2064474672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PRIMEIRA - ADIANTAMENTO SALARIAL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 entidade concederá quinzenalmente e automaticamente, adiantamento de no mínimo, 40% (quarenta por cento) do salário mensal bruto do empregado.</w:t>
                  </w:r>
                </w:p>
                <w:p w:rsidR="00000000" w:rsidRDefault="00671FB2">
                  <w:pPr>
                    <w:divId w:val="1766993014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divId w:val="1307274555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CLÁUSULA DÉCIMA SEGUNDA - FORMA E DATA DE PAGAMENTO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entidades que não efetuarem os pagame4ntos de salários e vales em moeda corrente, devem proporcionar aos empregados tempo hábil para o recebimento na rede bancária pagadora, coincidente com o expedi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ente bancário e dentro da jornada de trabalho, excluindo-se os horários de refeição.</w:t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§ 1°. Fica estipulada na forma deste acoredo, a data de pagamento dos salários no último dia útil de cada mês.</w:t>
                  </w:r>
                </w:p>
                <w:p w:rsidR="00000000" w:rsidRDefault="00671FB2">
                  <w:pPr>
                    <w:divId w:val="516583877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 § O atraso do pagamento dos salários importará em multa de 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10% (dez por cento), sobre o débito. Igual comunicqção será aplicada, na hipótese de atraso no pagamento do 13º salário.</w:t>
                  </w:r>
                </w:p>
                <w:p w:rsidR="00000000" w:rsidRDefault="00671FB2">
                  <w:pPr>
                    <w:divId w:val="1276601562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divId w:val="810050944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divId w:val="14894082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671FB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Gratificações, Adicionais, Auxílios e Outros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Gratificações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TERCEIRA - QUALIFICAÇÃO PROFISSIONAL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 entidade sempre que possível promoverá atividades de formação e aperfeiçoamento profissional para seus empregados, cedendo-lhes facilidades materiais e de tempo para frequências aulas, em razão da necessidade de desenvolvimento profissional, da qualidad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 e da produtividade.</w:t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divId w:val="32554873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divId w:val="186463426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671FB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Adicional de Hora-Extra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QUARTA - HORAS EXTRAORDINÁRIAS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horas extras trabalhadas em dias normais o pagamento será de 70% (setenta porcento) e nas folgas e feriados  100% (cem porcento) de sobretaxa para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horas extras prestadas. </w:t>
                  </w:r>
                </w:p>
                <w:p w:rsidR="00000000" w:rsidRDefault="00671FB2">
                  <w:pPr>
                    <w:divId w:val="696539057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divId w:val="1298951769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divId w:val="1783264889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671FB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Auxílio Alimentação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QUINTA - VALE REFEIÇÃO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 entidade empregadora fornecerão TICKET refeição, em número de dias úteis, unidade por mês, no valor de R$ 20.16 (vinte reais e dezesseis centavos).</w:t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1- A en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tidade empregadora fornece refeição no local e quando  houver trabalho externo a entidade fornecerá o vale/ticket refeição.</w:t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divId w:val="60045531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divId w:val="160164324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SEXTA - CESTA BÁSICA/VALE ALIMENTAÇÃO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 entidade concederão aos seus empregados, cesta bá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sica no valor de R$ 161,28 (cento e sessenta e um reais e vinte e oito centavos) concedido em produtos (CESTA "IN NATURA"). </w:t>
                  </w:r>
                </w:p>
                <w:p w:rsidR="00000000" w:rsidRDefault="00671FB2">
                  <w:pPr>
                    <w:divId w:val="1226530413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671FB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Auxílio Saúde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SÉTIMA - CONVÊNIO MÉDICO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 Entidade empregadora fornecerá a todos os trabalhadores e seus d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ependentes legais o convênio médico com o desconto de R$ 50,00 (cinquenta reais) por vida.</w:t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671FB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Auxílio Creche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OITAVA - AUXÍLIO CRECHE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entidades que não possuem creches próprias pagarão as seus empregados, um auxílio creche equivalent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 a 20% (vinte por cento) do salário normativo, por mês, por filho e a partir do seu nascimento até completar 06 (seis) anos de idade.</w:t>
                  </w:r>
                </w:p>
                <w:p w:rsidR="00000000" w:rsidRDefault="00671FB2">
                  <w:pPr>
                    <w:divId w:val="47245229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671FB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Outros Auxílios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NONA - AUXÍLIO AO FILHO EXCEPCIONAL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Será pago aos empregados que tenha filhos 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xcepcionais, um auxilio mensal equivalente a 20% (vinte por cento) do salário normativo, por filho nestas condições, desde que tal fato seja comunicado ao empregador.</w:t>
                  </w:r>
                </w:p>
                <w:p w:rsidR="00000000" w:rsidRDefault="00671FB2">
                  <w:pPr>
                    <w:divId w:val="727535468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- BENEFÍCIOS CONCEDIDOS AOS SÓCIOS DA ENTIDADE EMPREGADORA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Ficam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estendidos os benefícios concedidos aos associados da entidade empregadora aos seus funcionários e dependentes.</w:t>
                  </w:r>
                </w:p>
                <w:p w:rsidR="00000000" w:rsidRDefault="00671FB2">
                  <w:pPr>
                    <w:divId w:val="99496256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divId w:val="1754274746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671FB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Contrato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Admiss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Demiss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Modalidades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Aviso Prévio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PRIMEIRA - AVISO PRÉVIO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Concessão de aviso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prévio de 03(três) dias por ano de serviço prestado a entidade empregadora. Aos empregados que contarem com mais de 45 (quarenta e cinco) anos de idade será assegurado um aviso prévio de 45 (quarenta e cinco) dias, independentemente da vantagem concedida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nesta cláusula</w:t>
                  </w:r>
                </w:p>
                <w:p w:rsidR="00000000" w:rsidRDefault="00671FB2">
                  <w:pPr>
                    <w:divId w:val="830100282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divId w:val="13573082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divId w:val="30423718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671FB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Relações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Condi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çõ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es de Trabalho, Normas de Pessoal e Estabilidades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Adaptação de função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SEGUNDA - GARANTIA AO EMPREGADO COM SEQUELAS E READAPTAÇÃO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Será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garantida aos empregados acidentados no trabalho, a permanência na entidade em função compatível com seu estado físico, sem prejuízo na remuneração antes percebida, desde que, após o acidente apresentem cumulativamente redução da capacidade laboral atestad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 pelo órgão oficial e que tenham se tornado incapaz de exercer a função que anteriormente exerciam. Ficam obrigados, porém, os trabalhadores nessa situação a participar de processo de readaptação e reabilitação profissional. Quando adquiridos, cessam-se 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s garantias, salvaguardadas as previsões contidas na Lei n° 8213/91, Artigo 118, desde que a despedida tenha ocorrido após um ano de readaptação.</w:t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divId w:val="2092702938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divId w:val="183999608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671FB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Estabilidade Mãe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TERCEIRA - ESTABILIDADE GESTANTE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Estabilidade provisória a em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pregada gestante, desde o início da gravidez, até 60 (sessenta) dias após o término da licença compulsória</w:t>
                  </w:r>
                </w:p>
                <w:p w:rsidR="00000000" w:rsidRDefault="00671FB2">
                  <w:pPr>
                    <w:divId w:val="793669907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divId w:val="420178159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671FB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Estabilidade Serviço Militar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QUARTA - ESTABILIDADE SERVIÇOS MILITAR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Estabilidade provisória ao empregado em prestação d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 serviço militar, desde o alistamento até 30 (trinta) dias após o desligamento.</w:t>
                  </w:r>
                </w:p>
                <w:p w:rsidR="00000000" w:rsidRDefault="00671FB2">
                  <w:pPr>
                    <w:divId w:val="1385325712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671FB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Estabilidade Acidentados/Portadores Doença Profissional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QUINTA - ESTABILIDADE AO AFASTADO POR DOENÇA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 empregado afastado do trabalho por doença, p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elo prazo superior a 60 (sessenta) dias, terá estabilidade provisória, por igual prazo ao do afastamento.</w:t>
                  </w:r>
                </w:p>
                <w:p w:rsidR="00000000" w:rsidRDefault="00671FB2">
                  <w:pPr>
                    <w:divId w:val="536309425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divId w:val="66158699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SEXTA - ESTABILIDADE AO ACIDENTADO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Estabilidade ao empregado vitimado pelo acidente do trabalho, por mais de 60 (sessenta) dias além do disposto no artigo 118 da Lei nº 8.213/91.</w:t>
                  </w:r>
                </w:p>
                <w:p w:rsidR="00000000" w:rsidRDefault="00671FB2">
                  <w:pPr>
                    <w:divId w:val="1500806849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divId w:val="1816684177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671FB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Estabilidade Aposentadoria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SÉTIMA - ESTABILIDADE PRÉ-APOSENTADORIA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Garantia de emp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rego e salário aos empregados que estejam a menos de 03 (três) anos da aposentadoria, sendo que, adquirindo o direito, cessa a estabilidade.</w:t>
                  </w:r>
                </w:p>
                <w:p w:rsidR="00000000" w:rsidRDefault="00671FB2">
                  <w:pPr>
                    <w:divId w:val="2051877334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divId w:val="169686448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671FB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Jornada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Dura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Distribui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Controle, Faltas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Prorrogação/Redução de Jornada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V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IGÉSIMA OITAVA - REDUÇÃO DA CARGA HORÁRIA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Redução da carga horária semanal de trabalho, para 40 (quarenta) horas, sem redução de salário, ficam desobrigados a bater cartão de ponto com número inferior de 20 (vinte) funcionários.</w:t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Sendo de segunda-feira 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quinta-feira das 08:00hs às 17:00hs e nas sexta-feira das 8:00hs às 16:00hs.</w:t>
                  </w:r>
                </w:p>
                <w:p w:rsidR="00000000" w:rsidRDefault="00671FB2">
                  <w:pPr>
                    <w:divId w:val="99059435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divId w:val="2571830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671FB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Compensação de Jornada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NONA - COMPENSAÇÕES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São compensáveis todas as majorações nominais de salários, salvo as decorrentes de promoção, reclassifica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ção, transferências de cargo, aumento real e equiparação salarial.</w:t>
                  </w:r>
                </w:p>
                <w:p w:rsidR="00000000" w:rsidRDefault="00671FB2">
                  <w:pPr>
                    <w:divId w:val="134617540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- COMPENSAÇÃO DE JORNADA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Os trabalhadores farão a compensaçõe de horas, quando for solicitado.</w:t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Exemplo: quando o trabalhador sair mais cedo poderá entr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ar mais cedo ou sairá mais tarde nos dias decorrente.</w:t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671FB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Descanso Semanal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PRIMEIRA - DESCANSO SEMANAL REMUNERADO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 trabalho no descanso semanal remunerado e feriados serão pago em dobro, independentemente da remuneraçã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 desses dias, já devia ao empregador por força de lei.</w:t>
                  </w:r>
                </w:p>
                <w:p w:rsidR="00000000" w:rsidRDefault="00671FB2">
                  <w:pPr>
                    <w:divId w:val="57289856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671FB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Faltas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SEGUNDA - EXAMES ESCOLARES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Abono de falta ao empregado estudante para prestação de exames escolares, condicionado a prévia comunicação e comprovante posterior.</w:t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ÁUSULA TRIGÉSIMA TERCEIRA - ACOMPANHAMENTO DE DEPENDENTES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Assegura-se o direito de remuneração na ausência do trabalho para acompanhamento de dependente direto em casos de internação ou consultas médicas, devendo apresentar atestado e/ou declaração médi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ca.</w:t>
                  </w:r>
                </w:p>
                <w:p w:rsidR="00000000" w:rsidRDefault="00671FB2">
                  <w:pPr>
                    <w:divId w:val="854342295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671FB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Férias e Licenças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Duração e Concessão de Férias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QUARTA - INÍCIO DE FÉRIAS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 início de férias coletivas ou individuais não pode coincidir com sábados, domingos e feriados, dias já compensados ou dias intercalados em feria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dos.</w:t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Conforme previsão legal na reforma trabalhista -§3°. Artigo 134 da CLT.</w:t>
                  </w:r>
                </w:p>
                <w:p w:rsidR="00000000" w:rsidRDefault="00671FB2">
                  <w:pPr>
                    <w:divId w:val="1513761395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divId w:val="105471758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671FB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Licença Remunerada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QUINTA - LICENÇA PATERNIDADE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Concessão de licença paternidade de 05 (cinco) dias úteis</w:t>
                  </w:r>
                </w:p>
                <w:p w:rsidR="00000000" w:rsidRDefault="00671FB2">
                  <w:pPr>
                    <w:divId w:val="1231425548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divId w:val="821970105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671FB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Licença Adoção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TRIGÉ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SIMA SEXTA - LICENÇA ADOTANTE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Licença remunerada de 120 (cento e vinte) dias aos empregados adotantes, no caso de adoção de criança na faixa etária de 0 (zero) a 8 (oito) anos de idade.</w:t>
                  </w:r>
                </w:p>
                <w:p w:rsidR="00000000" w:rsidRDefault="00671FB2">
                  <w:pPr>
                    <w:divId w:val="33842908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divId w:val="158703597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671FB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Saúde e Segurança do Trabalhador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Condições de Ambiente de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SÉTIMA - CONDIÇÕES SANITÁRIAS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instalações sanitárias deverão ser mantidas pela entidade em bom estado de conservação, asseio e higiene, devendo ser instaladas para cada grupo de 10 (dez) trabalhadores, nas seguintes con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dições:</w:t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1- Lavatórios providos de material de limpeza (sabonete, papel para secagem das mãos e higiênico), proibindo -se o uso de toalhas coletivas;</w:t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2- Vasos sanitários que deverá ser sifonado e possuir caixa de descarga;</w:t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3- Mictórios providos de aparelhos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de descarga provocada ou automática de fácil escoamento e limpeza;</w:t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4- Chuveiros elétricos nos termos da NR- 24, da Portaria n°. 3214/78;</w:t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5- As paredes e os pisos dos sanitários deverão ser revestidos de material impermeável;</w:t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6- As instalações sanitárias d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everão ser instaladas em locais de fácil acesso;</w:t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7- A entidade manterá uma pessoas especificamente para a limpeza.</w:t>
                  </w:r>
                </w:p>
                <w:p w:rsidR="00000000" w:rsidRDefault="00671FB2">
                  <w:pPr>
                    <w:divId w:val="1833059329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divId w:val="78405867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OITAVA - ÁGUA POTÁVEL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Nos locais de trabalho deve ser fornecida água fresca e potável, filtrada, para cada grupo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de 20(vinte) trabalhadores, proibindo-se o uso do mesmo local para lavagem de mãos, ferramentas e demais peças de trabalho</w:t>
                  </w:r>
                </w:p>
                <w:p w:rsidR="00000000" w:rsidRDefault="00671FB2">
                  <w:pPr>
                    <w:divId w:val="757822958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NONA - PRIMEIROS SOCORROS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 entidade deverá manter nos locais de trabalho, uma caixa de medicamentos de pri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meiros socorros. </w:t>
                  </w:r>
                </w:p>
                <w:p w:rsidR="00000000" w:rsidRDefault="00671FB2">
                  <w:pPr>
                    <w:divId w:val="1565943963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divId w:val="572201039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671FB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Uniforme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- UNIFORMES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Fornecimento obrigatório e gratuito de uniformes aos empregados quando exigidos pelas empresas de prestação de serviços ou quando exigido pela própria natureza do serviço.</w:t>
                  </w:r>
                </w:p>
                <w:p w:rsidR="00000000" w:rsidRDefault="00671FB2">
                  <w:pPr>
                    <w:divId w:val="442112336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divId w:val="538711979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671FB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Relações 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Representante Sindical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PRIMEIRA - DIRIGENTES 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Concessão de afastamento do dirigente sindical, por parte do empregador, arcando com os pagamentos previdenciários e fundiários.</w:t>
                  </w:r>
                </w:p>
                <w:p w:rsidR="00000000" w:rsidRDefault="00671FB2">
                  <w:pPr>
                    <w:divId w:val="479226649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671FB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Contribuições Sindi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SEGUNDA - MENSALIDADE ASSOCIATIVA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 entidade descontará dos seus funcionários que assinou a ficha de associação a porcentagem de 1% da remuneração.</w:t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Paragrafo Primeiro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- A entidade sindical profissional enviará os boletos co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m vencimento até o dia 10 de cada mês para o devido repasse.</w:t>
                  </w:r>
                </w:p>
                <w:p w:rsidR="00000000" w:rsidRDefault="00671FB2">
                  <w:pPr>
                    <w:divId w:val="1313482908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TERCEIRA - CONTRIBUIÇÃO NEGOCIAL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Os empregadores ficam obrigados a descontar na folha salarial de cada mês, a partir de setembro de 2022, a importância equivalente a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2% (dois por cento) do salário base de cada empregado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 xml:space="preserve"> não sindicalizado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, a título de Contribuição de Negociação Coletiva.</w:t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Declarando o direito de oposição deste desconto que deve ser manifestado pessoalmente pelo trabalhador interessado em carta de próprio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punho na sede da entidade. Ficando sem validade as comunicações efetuadas pelos empregados através de correio, cartório, e-mail, fax ou diretamente à empresa no prazo maximo de 60 (sessenta) dias da data base.</w:t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 desconto e repasse da importância devida pe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lo empregado a título de Contribuição Assistencial Negocial de responsabilidade da empresa, sendo que a omissão empresarial na efetivação do desconto e seu respectivo repasse ao SEES fará com que o ônus pelo pagamento da importância se reverta à empresa, 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em permissão de desconto ou reembolso posterior ao trabalhador.</w:t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671FB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Disposições Gerais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Aplicação do Instrumento Coletivo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QUARTA - GARANTIA DE CUMPRIMENTO DAS OBRIGAÇÕES LEGAIS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partes comprometem-se a criar mecanismo paritári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os para o cumprimento da legislação, ACORDOS  e dissídios coletivos.</w:t>
                  </w:r>
                </w:p>
                <w:p w:rsidR="00000000" w:rsidRDefault="00671FB2">
                  <w:pPr>
                    <w:divId w:val="241179376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divId w:val="156775754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QUINTA - REGISTRO NA CTPS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 ausência de anotação do contrato de trabalho na CTPS do trabalhador implicará em multa de 10 (dez) salários mínimos , por mê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s, por trabalhador não registrado e reverterá em favor de cada trabalhador, respectivamente.</w:t>
                  </w:r>
                </w:p>
                <w:p w:rsidR="00000000" w:rsidRDefault="00671FB2">
                  <w:pPr>
                    <w:divId w:val="1564756266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SEXTA - DISPOSIÇÃO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 Presente ACORDO COLETIVO abrange todos os empregados integrantes das categorias profissionais, representados pelo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SEES.</w:t>
                  </w:r>
                </w:p>
                <w:p w:rsidR="00000000" w:rsidRDefault="00671FB2">
                  <w:pPr>
                    <w:divId w:val="2106533444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671FB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Descumprimento do Instrumento Coletivo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SÉTIMA - MULTA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Multa de 10% (dez por cento) do salário normativo, por empregado, em caso de descumprimento de quaisquer das cláusula contida na norma coletiva, revertendo o benef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ício em favor da parte prejudicada.</w:t>
                  </w:r>
                </w:p>
                <w:p w:rsidR="00000000" w:rsidRDefault="00671FB2">
                  <w:pPr>
                    <w:divId w:val="616326893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divId w:val="64100975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OITAVA - MULTA DO FGTS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 multa de 40% (quarenta por cento) sobre o saldo do FGTS nas rescisão sem justa causa, fica estendida ás rescisões contratutais por morte do empregado com mais de 05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(cinco) anos de serviço na empresa, por aposentadoras e por morte derivada de acidente de trabalho.</w:t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no caso do trabalhador aposentar-se e permanecer trabalhando na mesma entidade, receberá a multa acima, por ocasião de seu desligamento definitivo.</w:t>
                  </w:r>
                </w:p>
                <w:p w:rsidR="00000000" w:rsidRDefault="00671FB2">
                  <w:pPr>
                    <w:divId w:val="164246613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671FB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Out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ras Disposições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NONA - TRABALHADOR PORTADOR DE AIDS, TUBERCULOSE, LEUCEMIA E LEUCOPENIA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Aos trabalhadores portadores da Síndrome da Imune Deficiência Adquirida (AIDS), Tuberculose, Leucemia e Leucopenia, além de todas as garanti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as prevista na legislação em vigor e nesta Convenção, serão garantidos, complementarmente:</w:t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1.Emprego e salário, a partir da data do diagnóstico e enquanto perdurar a moléstia.</w:t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2. Função compatível com o seu estado de saúde, determinada em comum acordo pelo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SESMT e médico indicado pelo sindicato da categoria profissional ou SUS.</w:t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3. Proibição da introdução do teste HIV, ou outro compatível, na rotina de exames admissionais, conforme recomendação do Conselho Regional de Medicina.</w:t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4. Os teste HJV só serão reali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zados nos casos de indicação clínica e com autorização por escrito do trabalhador. </w:t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5. Atendimento integral á sua saúde pela entidade, assim entendida a assistência médica ou de outros profissionais nos campos clínicos, cirúrgico, hospitalar, laboratorial,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social, etc.</w:t>
                  </w:r>
                </w:p>
                <w:p w:rsidR="00000000" w:rsidRDefault="00671FB2">
                  <w:pPr>
                    <w:divId w:val="1463234089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divId w:val="2084596505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divId w:val="117789117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671FB2">
                  <w:pPr>
                    <w:spacing w:after="24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71FB2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EVERALDO ALVES DOS SANTOS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Vice-Presidente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SIND.EMPR.ENT.SIND.DE SA,SBC,SCS,DIAD.,MC,SUZ.,M,RP,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JULIO CESAR FERREIRA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Presidente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SIND DOS TRAB NAS EMPR DE REF COL DE SUZANO E REGIAO E TRAB NAS EMPR FORN DE REF PARA AER DO MUNICIPIO DE GUARULHOS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</w:p>
                    </w:tc>
                  </w:tr>
                </w:tbl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671FB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671FB2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 I - ATA DE ASSEMBLEIA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671FB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hyperlink r:id="rId4" w:tgtFrame="_blank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Anexo (PDF)</w:t>
                    </w:r>
                  </w:hyperlink>
                </w:p>
                <w:p w:rsidR="00000000" w:rsidRDefault="00671FB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   A autenticidade deste documento poderá ser confirmada na página do Ministério da Economia na Internet, no endereço http://www.mte.gov.br.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:rsidR="00000000" w:rsidRDefault="00671FB2">
            <w:pPr>
              <w:rPr>
                <w:rFonts w:eastAsia="Times New Roman"/>
              </w:rPr>
            </w:pPr>
          </w:p>
        </w:tc>
      </w:tr>
    </w:tbl>
    <w:p w:rsidR="00671FB2" w:rsidRDefault="00671FB2">
      <w:pPr>
        <w:rPr>
          <w:rFonts w:eastAsia="Times New Roman"/>
        </w:rPr>
      </w:pPr>
    </w:p>
    <w:sectPr w:rsidR="00671FB2">
      <w:pgSz w:w="11907" w:h="16840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134EB"/>
    <w:rsid w:val="00671FB2"/>
    <w:rsid w:val="00F1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CF361-A777-4C33-A590-36B6F284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Pr>
      <w:rFonts w:ascii="Consolas" w:eastAsiaTheme="minorEastAsia" w:hAnsi="Consolas"/>
    </w:rPr>
  </w:style>
  <w:style w:type="paragraph" w:customStyle="1" w:styleId="titulo">
    <w:name w:val="titul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ubtitulo">
    <w:name w:val="subtitulo"/>
    <w:basedOn w:val="Normal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exto">
    <w:name w:val="text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ituloclausula">
    <w:name w:val="titul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descricaoclausula">
    <w:name w:val="descrica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extogrupo">
    <w:name w:val="textogrupo"/>
    <w:basedOn w:val="Normal"/>
    <w:pPr>
      <w:spacing w:before="100" w:beforeAutospacing="1" w:after="100" w:afterAutospacing="1"/>
    </w:pPr>
    <w:rPr>
      <w:rFonts w:ascii="Arial" w:hAnsi="Arial" w:cs="Arial"/>
      <w:caps/>
      <w:sz w:val="27"/>
      <w:szCs w:val="27"/>
    </w:rPr>
  </w:style>
  <w:style w:type="paragraph" w:customStyle="1" w:styleId="textosubgrupo">
    <w:name w:val="textosubgrupo"/>
    <w:basedOn w:val="Normal"/>
    <w:pPr>
      <w:spacing w:before="100" w:beforeAutospacing="1" w:after="100" w:afterAutospacing="1"/>
    </w:pPr>
    <w:rPr>
      <w:rFonts w:ascii="Arial" w:hAnsi="Arial" w:cs="Arial"/>
      <w:caps/>
    </w:rPr>
  </w:style>
  <w:style w:type="paragraph" w:customStyle="1" w:styleId="textonome">
    <w:name w:val="textonome"/>
    <w:basedOn w:val="Normal"/>
    <w:pPr>
      <w:spacing w:before="100" w:beforeAutospacing="1" w:after="100" w:afterAutospacing="1"/>
    </w:pPr>
    <w:rPr>
      <w:rFonts w:ascii="Arial" w:hAnsi="Arial" w:cs="Arial"/>
      <w:b/>
      <w:bCs/>
      <w:caps/>
      <w:sz w:val="18"/>
      <w:szCs w:val="18"/>
    </w:rPr>
  </w:style>
  <w:style w:type="paragraph" w:customStyle="1" w:styleId="textofuncao">
    <w:name w:val="textofuncao"/>
    <w:basedOn w:val="Normal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pagebreak">
    <w:name w:val="pagebreak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3.mte.gov.br/sistemas/mediador/imagemAnexo/MR041338_20222022_08_17T11_06_50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2660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Mediador - Extrato Acordo Coletivo </vt:lpstr>
    </vt:vector>
  </TitlesOfParts>
  <Company/>
  <LinksUpToDate>false</LinksUpToDate>
  <CharactersWithSpaces>16997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Mediador - Extrato Acordo Coletivo</dc:title>
  <dc:subject/>
  <dc:creator>User</dc:creator>
  <cp:keywords/>
  <dc:description/>
  <cp:lastModifiedBy>User</cp:lastModifiedBy>
  <cp:revision>2</cp:revision>
  <dcterms:created xsi:type="dcterms:W3CDTF">2022-10-25T14:47:00Z</dcterms:created>
  <dcterms:modified xsi:type="dcterms:W3CDTF">2022-10-25T14:47:00Z</dcterms:modified>
</cp:coreProperties>
</file>