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83029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2022/2023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SP010831/2022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11/11/2022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MR056696/2022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19964.119643/2022-80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07/11/2022 </w:t>
                        </w:r>
                      </w:p>
                    </w:tc>
                  </w:tr>
                </w:tbl>
                <w:p w:rsidR="00000000" w:rsidRDefault="00C83029">
                  <w:pPr>
                    <w:rPr>
                      <w:rFonts w:eastAsia="Times New Roman"/>
                    </w:rPr>
                  </w:pPr>
                </w:p>
                <w:p w:rsidR="00000000" w:rsidRDefault="00C83029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C83029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SINDICATO DOS METALURGICOS DO ABC, CNPJ n. 71.535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.520/0001-47,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o presente ACORDO COLETIVO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Acordo Coletivo de Trabalho no período de 01º de setembro de 2022 a 31 de agosto de 2023 e a data-base da categoria em 01º de setembro.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presente Acordo Coletivo de Trabalho, aplicável no âmbito da(s) empresa(s) acorda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Empregados em Entidade Sindicais Patronais da Industria e em Associações Civis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São Bernardo do Campo/SP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Os salários praticados em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01/09/2022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serão reajustados em 9% (nove por cento) para quem ganha até R$ 6.9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99,99 (seis mil novecentos e noventa e nove reais e noventa e nove centavos); para aqueles acima de R$ 7.000,00 (sete mil reais), será concedido aumento/acrescimento na remuneração, igualitário no valor de R$ 630,00 (seiscentos e trinta reais).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Pagamento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ADIANTAMENTO 13º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Sindicato dos Metalúrgicos do ABC efetuará o pagamento da primeira parcela do 13º salário do ano de 2023 em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30/01/2023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aos não optantes pela antecipação enviar carta de oposi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ção ao RH até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18/01/2023</w:t>
                  </w:r>
                </w:p>
                <w:p w:rsidR="00000000" w:rsidRDefault="00C83029">
                  <w:pPr>
                    <w:divId w:val="88618942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divId w:val="154548400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SALÁRIO SUBSTITUIÇÃO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Recuodecorpodetexto"/>
                    <w:spacing w:before="0" w:beforeAutospacing="0" w:after="0" w:afterAutospacing="0"/>
                    <w:ind w:left="54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 w:val="27"/>
                      <w:szCs w:val="27"/>
                    </w:rPr>
                    <w:t>1. A partir do 10° (décimo) dia de substituição de caráter eventual, o empregado substituto passará a perceber o mesmo salário do</w:t>
                  </w:r>
                  <w:r>
                    <w:rPr>
                      <w:rStyle w:val="Forte"/>
                      <w:rFonts w:ascii="Book Antiqua" w:hAnsi="Book Antiqua" w:cs="Arial"/>
                      <w:sz w:val="27"/>
                      <w:szCs w:val="27"/>
                    </w:rPr>
                    <w:t xml:space="preserve"> substituído</w:t>
                  </w:r>
                  <w:r>
                    <w:rPr>
                      <w:rFonts w:ascii="Book Antiqua" w:hAnsi="Book Antiqua" w:cs="Arial"/>
                      <w:sz w:val="27"/>
                      <w:szCs w:val="27"/>
                    </w:rPr>
                    <w:t>, excluídas as substituições dos cargos de</w:t>
                  </w:r>
                  <w:r>
                    <w:rPr>
                      <w:rFonts w:ascii="Book Antiqua" w:hAnsi="Book Antiqua" w:cs="Arial"/>
                      <w:sz w:val="27"/>
                      <w:szCs w:val="27"/>
                    </w:rPr>
                    <w:t xml:space="preserve"> chefia, a menos que estas se prolonguem por período superior a 30 (trinta) dias</w:t>
                  </w:r>
                  <w:r>
                    <w:rPr>
                      <w:rFonts w:ascii="Book Antiqua" w:hAnsi="Book Antiqua" w:cs="Arial"/>
                      <w:sz w:val="27"/>
                      <w:szCs w:val="27"/>
                    </w:rPr>
                    <w:t>;</w:t>
                  </w:r>
                </w:p>
                <w:p w:rsidR="00000000" w:rsidRDefault="00C83029">
                  <w:pPr>
                    <w:ind w:left="540"/>
                    <w:jc w:val="both"/>
                  </w:pPr>
                  <w:r>
                    <w:rPr>
                      <w:rFonts w:ascii="Book Antiqua" w:hAnsi="Book Antiqua"/>
                      <w:sz w:val="27"/>
                      <w:szCs w:val="27"/>
                    </w:rPr>
                    <w:t> </w:t>
                  </w:r>
                </w:p>
                <w:p w:rsidR="00000000" w:rsidRDefault="00C83029">
                  <w:pPr>
                    <w:ind w:left="540"/>
                    <w:jc w:val="both"/>
                  </w:pPr>
                  <w:r>
                    <w:rPr>
                      <w:rFonts w:ascii="Book Antiqua" w:hAnsi="Book Antiqua"/>
                      <w:sz w:val="27"/>
                      <w:szCs w:val="27"/>
                    </w:rPr>
                    <w:t>2. Substituição superior a 60 (sessenta) dias consecutivos acarretará a efetivação na função, aplicando-se a promoção.</w:t>
                  </w:r>
                </w:p>
                <w:p w:rsidR="00000000" w:rsidRDefault="00C83029">
                  <w:pPr>
                    <w:ind w:left="540"/>
                    <w:jc w:val="both"/>
                  </w:pPr>
                  <w:r>
                    <w:rPr>
                      <w:rFonts w:ascii="Book Antiqua" w:hAnsi="Book Antiqua"/>
                      <w:sz w:val="27"/>
                      <w:szCs w:val="27"/>
                    </w:rPr>
                    <w:t> 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ind w:left="54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3. Nã</w:t>
                  </w:r>
                  <w:r>
                    <w:rPr>
                      <w:rFonts w:ascii="Book Antiqua" w:hAnsi="Book Antiqua" w:cs="Arial"/>
                      <w:szCs w:val="20"/>
                    </w:rPr>
                    <w:t>o se aplica a garantia do item 8.2.acima, quando o substituído estiver sob amparo da Previdência Social. Entretanto, se a substituição ultrapassar a 30 (trinta) dias, aplicar-se á o disposto no item .1.supra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O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Sindicato dos Metalúrgicos do ABC fornecerá de comprovante de pagamento com discriminação das importâncias pagas e descontos efetuados, contendo identificação da entidade e recolhimento do FGTS.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O Sindicato dos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Metalúrgicos do ABC concederá quinzenal e automaticamente, adiantamento de no mínimo 40% do salário mensal bruto do trabalhador.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As entidades deverão proporcionar aos empregados, nos dias de pagamento, temp</w:t>
                  </w:r>
                  <w:r>
                    <w:rPr>
                      <w:rFonts w:ascii="Book Antiqua" w:hAnsi="Book Antiqua" w:cs="Arial"/>
                      <w:szCs w:val="20"/>
                    </w:rPr>
                    <w:t>o hábil para recebimento de salários ou vales, dentro da jornada normal de trabalho, independentemente destes pagamentos serem efetuados em moeda corrente, depósito bancário ou cheque-salário. Não se aplica o disposto acima para as entidades que fornecem c</w:t>
                  </w:r>
                  <w:r>
                    <w:rPr>
                      <w:rFonts w:ascii="Book Antiqua" w:hAnsi="Book Antiqua" w:cs="Arial"/>
                      <w:szCs w:val="20"/>
                    </w:rPr>
                    <w:t>artão bancário magnético aos seus empregados para movimentação da conta salário ou possui posto bancário nas dependências da empresa.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SALVAGUARDA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ca salvaguardado o DIREITO e o DEVER recíprocos dos signatários deste ACORDO COLETIVO DE TRABALHO, para, a qualquer momento, por iniciativa de qualquer das partes, retornarem a mesa de negociação coletiva, a fim de discutirem e ajustarem questões gerais 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correntes da entrada em vigor de novas Leis, Medidas Provisórias, Decretos, Portarias e outros preceitos legais que possam alterar ou conflitar com a regular aplicação dos termos pactuados neste Instrumento Coletivo de Trabalho.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Os eventuais e pertinente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 ajustes que se fizerem necessário entre as partes, serão lavrados em Termos de Atendimentos ao presente Acordo Coletivo de Trabalho, remetendo-se o instrumento à depósito para fins de registro e arquivo junto à Gerencia Regional do Trabalho e Emprego,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cumprimento ao Caput do artigo 614 da CLT.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 xml:space="preserve">Pagamento de 25% de adicional noturno, para trabalho prestado entre 22:00 e 5:00 horas. 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Auxílio Ali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VALE 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índice de reajuste aplicado no ticket é de 11% (onze por cento), sendo que a entidade empregadora fornecerá ticket refeição em número de 22 unidades ao mês inclusive nas férias no valor de R$ 35,63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(trinta e cinco reais e sessenta e três centavos).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a- Salários até R$ 2.942,44 desconto de apenas 0,1%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b- Salários à partir de R$ 2.942,45 desconto de 2% limitado ao teto de R$ 50,47.</w:t>
                  </w:r>
                </w:p>
                <w:p w:rsidR="00000000" w:rsidRDefault="00C83029">
                  <w:pPr>
                    <w:divId w:val="81017761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divId w:val="180141192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Morte/Funeral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SEGUNDA - AUXÍ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LIO FUNERAL/ INDENIZAÇÃO POR MORTE OU INVALIDEZ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lastRenderedPageBreak/>
                    <w:t>A entidade pagará a título de auxílio funeral 1 (um) salário nominal em caso de morte natural ou acidental e 2 (dois) salários nominais em caso de morte por acidente de trabalho</w:t>
                  </w:r>
                  <w:r>
                    <w:rPr>
                      <w:rFonts w:ascii="Book Antiqua" w:hAnsi="Book Antiqua" w:cs="Arial"/>
                      <w:szCs w:val="20"/>
                    </w:rPr>
                    <w:t>.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Será concedida indenizaç</w:t>
                  </w:r>
                  <w:r>
                    <w:rPr>
                      <w:rFonts w:ascii="Book Antiqua" w:hAnsi="Book Antiqua" w:cs="Arial"/>
                      <w:szCs w:val="20"/>
                    </w:rPr>
                    <w:t>ão equivalente a um salário nominal em caso de rescisão de contrato por morte ou invalidez. A indenização será paga em dobro no caso de morte ou invalidez causada por acidente do trabalho ou doença profissional.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CIMA TERCEIRA - 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Sindicato dos Metalúrgicos do ABC pagará às suas trabalhadoras um auxilio creche equivalente 30% do maior piso salarial do grupo de autopeças por mês, por filho, até um ano. De um a dois anos se comprovar (recibo de crec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he) 30% e sem comprovação 10%.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Maior salário do grupo de autopeças (SINDFORJA e SINPA)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R$ 2.451,00 x 30% =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R$ 735,30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R$ 2.451,00 x 10% =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R$ 245,10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COMPLEMENTAÇÃO AUXÍLIO PREVIDENCIÁRIO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Concessão aos empregad</w:t>
                  </w:r>
                  <w:r>
                    <w:rPr>
                      <w:rFonts w:ascii="Book Antiqua" w:hAnsi="Book Antiqua" w:cs="Arial"/>
                      <w:szCs w:val="20"/>
                    </w:rPr>
                    <w:t>os afastados por motivo de saúde a complementação de auxílio previdenciário para que perceba a mesma remuneração que receberia em atividade, durante o prazo de 90 dias.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Normas para Admissão/Contra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CONTRATAÇÃO DE DEFICIENTES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De acordo com a legislação brasileira.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REGISTRO NA CTPS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 ausência da anotação do contrato de trabalho na CTPS do trabalhador, implicará em multa de 10 salários mí</w:t>
                  </w:r>
                  <w:r>
                    <w:rPr>
                      <w:rFonts w:ascii="Book Antiqua" w:hAnsi="Book Antiqua" w:cs="Arial"/>
                      <w:szCs w:val="20"/>
                    </w:rPr>
                    <w:t>nimos, por mês, por trabalhador não registrado e reverterá em favor de cada trabalhador, respectivamente.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EXTENSÃO DA ASSISTÊNCIA MÉDICA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Fica garantida a extensão pelo prazo de 90 dias os benefícios de assistência médica/hospitalar aos empregados demitidos.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RETORNO DE FÉRIAS (DEMISSÃO)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b/>
                      <w:bCs/>
                      <w:szCs w:val="20"/>
                    </w:rPr>
                  </w:pPr>
                  <w:r>
                    <w:rPr>
                      <w:rFonts w:ascii="Book Antiqua" w:hAnsi="Book Antiqua" w:cs="Arial"/>
                      <w:bCs/>
                      <w:szCs w:val="20"/>
                    </w:rPr>
                    <w:t xml:space="preserve">As entidades empregadoras, cujo contrato de trabalho venha a ser rescindido </w:t>
                  </w:r>
                  <w:r>
                    <w:rPr>
                      <w:rFonts w:ascii="Book Antiqua" w:hAnsi="Book Antiqua" w:cs="Arial"/>
                      <w:bCs/>
                      <w:szCs w:val="20"/>
                    </w:rPr>
                    <w:t xml:space="preserve">por iniciativa do empregador, sem justa causa, e no prazo de 30 (trinta) dias apões o retorno das férias, será paga uma indenização adicional equivalente a 1 (um) salário nominal mensal. A indenização aqui prevista será paga sem prejuízo das demais verbas </w:t>
                  </w:r>
                  <w:r>
                    <w:rPr>
                      <w:rFonts w:ascii="Book Antiqua" w:hAnsi="Book Antiqua" w:cs="Arial"/>
                      <w:bCs/>
                      <w:szCs w:val="20"/>
                    </w:rPr>
                    <w:t>rescisórias e juntamente com estas, não podendo ser substituída pelo aviso prévio trabalhado ou indenizado.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AVISO PRÉVIO - EMPREGADOS COM 45 ANOS OU MAIS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Aos empregados com 45 anos de idade ou mais, fica garantid</w:t>
                  </w:r>
                  <w:r>
                    <w:rPr>
                      <w:rFonts w:ascii="Book Antiqua" w:hAnsi="Book Antiqua" w:cs="Arial"/>
                      <w:szCs w:val="20"/>
                    </w:rPr>
                    <w:t>o um aviso prévio de 50 dias, acrescido de mais um dia por ano ou fração superior a 6 meses, de idade acima de 45 anos.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Mão-de-Obra Temporária/Terceirização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CONTRATAÇÃO DE EMPRESAS PRESTADORAS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Fica convencionado que a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Entidade empregadora somente poderá contratar prestadores de serviços, que possuam empregados em suas instalações, se estas se comprometerem contratualmente a cumprir, integralmente, a legislação trabalhista, previdenciária, bem como as normas de seguranç</w:t>
                  </w:r>
                  <w:r>
                    <w:rPr>
                      <w:rFonts w:ascii="Book Antiqua" w:hAnsi="Book Antiqua" w:cs="Arial"/>
                      <w:szCs w:val="20"/>
                    </w:rPr>
                    <w:t>a e medicina do trabalho em relação aos seus empregados.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40.1. Em havendo notificação por parte do Sindicato Profissional em relação ao descumprimento comprovado da legislação e normas mencionadas nesta cláusula, esta avaliará a situação e em havendo cons</w:t>
                  </w:r>
                  <w:r>
                    <w:rPr>
                      <w:rFonts w:ascii="Book Antiqua" w:hAnsi="Book Antiqua" w:cs="Arial"/>
                      <w:szCs w:val="20"/>
                    </w:rPr>
                    <w:t>tatação da irregularidade, concederá prazo de 120 (cento e vinte) dias para regularização por parte da contratada, sob pena de rescisão do respectivo contrato, salvo nos caos em que exista cláusula específica de rescisão de contrato em prazo diferente do a</w:t>
                  </w:r>
                  <w:r>
                    <w:rPr>
                      <w:rFonts w:ascii="Book Antiqua" w:hAnsi="Book Antiqua" w:cs="Arial"/>
                      <w:szCs w:val="20"/>
                    </w:rPr>
                    <w:t>qui mencionado</w:t>
                  </w:r>
                  <w:r>
                    <w:rPr>
                      <w:rFonts w:ascii="Book Antiqua" w:hAnsi="Book Antiqua" w:cs="Arial"/>
                      <w:b/>
                      <w:bCs/>
                      <w:szCs w:val="20"/>
                    </w:rPr>
                    <w:t>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Geral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Book Antiqua" w:eastAsia="Times New Roman" w:hAnsi="Book Antiqua" w:cs="Arial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ESTABILIDADE AO AFASTADO POR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Aos empregados   afastados do serviço, por acidente do trabalho o</w:t>
                  </w:r>
                  <w:r>
                    <w:rPr>
                      <w:rFonts w:ascii="Book Antiqua" w:hAnsi="Book Antiqua" w:cs="Arial"/>
                      <w:szCs w:val="20"/>
                    </w:rPr>
                    <w:t>u doença, percebendo Auxílio Doença, será garantido emprego ou salário, a partir da alta, por igual ao do afastamento, limitado, porém, a um máximo de 60 (sessenta) dias, além do aviso prévio na CLT ou nesta Convenção.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12.1. Na hipótese da recusa, pela em</w:t>
                  </w:r>
                  <w:r>
                    <w:rPr>
                      <w:rFonts w:ascii="Book Antiqua" w:hAnsi="Book Antiqua" w:cs="Arial"/>
                      <w:szCs w:val="20"/>
                    </w:rPr>
                    <w:t>presa, da alta médica dada pelo INSS, a mesma arcará com o pagamento dos dias não pagos pela Previdência Social, contidos entre o reencaminhamento e a confirmação da alta pelo INSS;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12.2. Dentro do prazo limitado nesta garantia, o contrato de trabalho des</w:t>
                  </w:r>
                  <w:r>
                    <w:rPr>
                      <w:rFonts w:ascii="Book Antiqua" w:hAnsi="Book Antiqua" w:cs="Arial"/>
                      <w:szCs w:val="20"/>
                    </w:rPr>
                    <w:t>tes empregados somente poderá ser rescindido por mútuo acordo entre empregado e empregador, por falta grave cometida pelo empregado ou mediante pagamento dos salários correspondentes.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SEGUNDA - ESTABILIDADE GESTANTE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Garantia de emprego à empregada gestante desde início da gravidez até 60 dias após o término da licença compulsória.(que é 180 (cento e oitenta dias))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Será g</w:t>
                  </w:r>
                  <w:r>
                    <w:rPr>
                      <w:rFonts w:ascii="Book Antiqua" w:hAnsi="Book Antiqua" w:cs="Arial"/>
                      <w:szCs w:val="20"/>
                    </w:rPr>
                    <w:t>arantido emprego e salário ao trabalhador em idade de prestação de serviço militar, desde o alistamento até 30 dias após a baixa.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GARANTIA DE EMPREGO AO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G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ARANTIA DE EMPREGO AO EMPREGADO PORTADOR DOENÇA PROFISSIONAL OU OCUPACIONAL  - (G8.II)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1. O empregado (a) fará jus às condições estabelecidas nesta cláusula, sem prejuízo do salário-base antes percebido e que comprovadamente se tornar portador de doença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ocupacional/profissional desenvolvida exclusivamente em razão das atividades exercidas na atual empresa, desde que atendidos cumulativamente os seguintes requisitos: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1.1) que apresente sequela permanente que reduza sua capacidade laborativa e que o torne 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ncapaz de exercer a sua função, tendo sido assim determinado pela perícia médica do INSS;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1.2) que tenha participado e sido aprovado num programa de reabilitação profissional pelo INSS ou em centro credenciado pela autarquia, com condições de realizar qual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quer outra atividade compatível com sua capacidade laboral residual e também compatível com as atividades já desenvolvidas pela empresa;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1.3) que se comprometa e participe, dos processos de treinamento e readaptação às novas funções na empresa indicadas pe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lo SESMT e/ou equivalente.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1.4) O nexo da causalidade da doença profissional ou ocupacional, garantidoras do benefício, bem como, as condições previstas nas alíneas acima descritas, deverá ser sempre e exclusivamente, comprovado mediante laudo ou certifica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do emitido pelo INSS;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2)  O empregado que preencher os requisitos dessa cláusula terá direito a contar da data do retorno do afastamento, a garantia de emprego pelo período máximo de 48 (quarenta e oito) meses, já inseridos os 12 (doze) meses previstos no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artigo 118 da lei nº 8.213/1991.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3) O empregado contemplado com a garantia prevista nesta cláusula, não poderá servir de paradigma para reivindicações salariais. O contrato de trabalho poderá ser rescindido a qualquer momento por cometimento de falta grave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por pedido de demissão, ou mútuo acordo entre empregado e empresa com a assistência do sindicato.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4) As garantias previstas nesta cláusula não se aplicam: 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4.1) ao empregado que comprovadamente não cumprir todas as exigências dos itens “1.1” a “1.4” do 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aput desta cláusula, e inclusive nos casos de renovação ou nova concessão de benefício;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4.2) ao empregado aposentado ou que tiver adquirido a direito a aposentadoria de acordo com a legislação vigente;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4.3) ao portador de doença profissional/ocupacional, 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ujas ocorrências não coincidirem com a vigência do contrato de trabalho na empresa;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5) Os empregados que adquiriram o direito a garantia de emprego por doença ocupacional ou profissional na vigência de acordo ou CCT anterior 01/09/2018, manterão o direito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à garantia de emprego até a aposentadoria, de acordo com a legislação vigente, desde que preencham os requisitos dessa cláusula.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6) Os empregados que obtiverem o direito a garantia de emprego por doença ocupacional ou profissional, adquirida na empresa em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período anterior a 01/09/2018, por decisão judicial ou administrativa do INSS, superveniente, e que preencha os requisitos dessa cláusula, manterão o direito à garantia de emprego, até a aposentadoria, de acordo com a legislação vigente, desde que preencha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m os requisitos dessa cláusula.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7) Para a caracterização da doença profissional e ou ocupacional dos empregados admitidos a partir de 01 de setembro de 2018, tal como previsto nos termos do item “2” supra, é necessário que o empregado tenha pelo menos 18 (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dezoito) meses completos de serviços prestados a atual empresa.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divId w:val="55936549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Portadores Doença Não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QUINTA - EMPREGADOS PORTADORES DO VÍRUS HIV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Fica garantido o emprego e salário até seu afastamento pelo INSS, só podendo ter seu contrato rescindido por cometimento de falta grave ou por mútuo acordo entre trabalhador e entidade, neste último caso com a assistência da entidade sindical profissional.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ind w:left="36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bCs/>
                      <w:szCs w:val="20"/>
                    </w:rPr>
                    <w:t>Parágrafo único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 - a garantia que trata esta cláusula, só será aplicada ao trabalhador que notificar a entidade de sua condição de soropositivo, até 30 dias contados a partir da data da notificação da dispensa.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ÉSIMA SEXTA - ESTABILIDADE PRE-APOSENTADORIA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Aos empregados que comprovadamente estiverem a o máximo de 12 meses para aquisição do direito a aposentadoria por idade, por tempo de contribuição e especial em prazos mínimos, e que tenham um mínimo de 5 ano</w:t>
                  </w:r>
                  <w:r>
                    <w:rPr>
                      <w:rFonts w:ascii="Book Antiqua" w:hAnsi="Book Antiqua" w:cs="Arial"/>
                      <w:szCs w:val="20"/>
                    </w:rPr>
                    <w:t>s de trabalho na mesma entidade, ficará assegurado o emprego ou salário durante o período que faltar para aposentar-se.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Esta garantia fica ampliada para 18 meses quando o trabalhador tiver mais de dez anos de trabalho na entidade.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Duração, Distribuição,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Horário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 jornada de trabalho dos empregados dos  Sindicato dos Metalúrgicos do ABC  é 40 horas semanais.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OITAVA -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JUSTIFICADAS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Até 2 dias consecutivos em caso de falecimento de sogro (a) e 1 dia no caso de internação hospitalar da esposa ou companheira, desde coincidentemente com as jornadas de trabalho e mediante comprovação. Internação de filho, quando houver im</w:t>
                  </w:r>
                  <w:r>
                    <w:rPr>
                      <w:rFonts w:ascii="Book Antiqua" w:hAnsi="Book Antiqua" w:cs="Arial"/>
                      <w:szCs w:val="20"/>
                    </w:rPr>
                    <w:t>possibilidade da esposa ou companheira de efetuá-la, a ausência do trabalhador não será considerada para efeito de DSR, feriado, férias e 13º.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NONA - INÍCIO DAS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O início da</w:t>
                  </w:r>
                  <w:r>
                    <w:rPr>
                      <w:rFonts w:ascii="Book Antiqua" w:hAnsi="Book Antiqua" w:cs="Arial"/>
                      <w:szCs w:val="20"/>
                    </w:rPr>
                    <w:t>s férias, coletivas ou individuais, não poderá coincidir com sábados, domingos e feriados, dias já compensados ou dias intercalados em feriados, considerando-se sempre o primeiro dia útil da semana.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TRIGÉSIMA - LINCENÇA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Concessão de 5 dias corridos, desde a data do parto, incluído o dia do parto, previsto no inciso III, do art. 473 da CLT.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 PRIMEIRA - QUADRO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Fixação de quadro de avisos no local da prestação de serviços.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ÁGUA POTÁVEL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Fornecimento de água fresca e potável, filtrada, para cada grupo de 20 empregados, proibindo-se o uso do mesmo local para lavagem das mãos, ferramentas e demais peças de trabalho.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UNIFORMES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Fornecimento obriga</w:t>
                  </w:r>
                  <w:r>
                    <w:rPr>
                      <w:rFonts w:ascii="Book Antiqua" w:hAnsi="Book Antiqua" w:cs="Arial"/>
                      <w:szCs w:val="20"/>
                    </w:rPr>
                    <w:t>tório e gratuito de uniformes aos empregados quando exigidos pelas entidades ou quando exigidos pela própria natureza do serviço.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ATESTADOS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Reconhecimento dos atestados médicos/odontológico</w:t>
                  </w:r>
                  <w:r>
                    <w:rPr>
                      <w:rFonts w:ascii="Book Antiqua" w:hAnsi="Book Antiqua" w:cs="Arial"/>
                      <w:szCs w:val="20"/>
                    </w:rPr>
                    <w:t>s passados por facultativos das respectivas entidades sindicais representativas da categoria profissional, desde que obedecidas as exigências da Portaria MPAS 3370. Tais atestados não serão questionados quanto a sua origem, se portarem o Código Internacion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al de Doenças (CID), o carimbo da entidade sindical profissional e assinatura do se facultativo. Excetuam-se os casos previstos no art. 27, parágrafo </w:t>
                  </w:r>
                  <w:r>
                    <w:rPr>
                      <w:rFonts w:ascii="Book Antiqua" w:hAnsi="Book Antiqua" w:cs="Arial"/>
                      <w:szCs w:val="20"/>
                    </w:rPr>
                    <w:lastRenderedPageBreak/>
                    <w:t>único do Decreto 89312. Os atestados que retratem casos de urgência médica serão reconhecidos sempre.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Garantias a Diretores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DIRIGENTES SINDICAIS - PARTICIPAÇÃO EM CURSOS OU ENCONTROS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Os dirigentes sindicais não afastados de suas funções na entidade, poderão ausentar-se do serviço, at</w:t>
                  </w:r>
                  <w:r>
                    <w:rPr>
                      <w:rFonts w:ascii="Book Antiqua" w:hAnsi="Book Antiqua" w:cs="Arial"/>
                      <w:szCs w:val="20"/>
                    </w:rPr>
                    <w:t xml:space="preserve">é 8 dias por ano, sem prejuízo nas férias, 13º, feriado e DSR, desde que pré-avisada a entidade por escrito, pela respectiva entidade sindical, com antecedência mínima de 48 horas.  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SINDICALIZAÇÃO - Com objetivo de incrementar a sindicalização dos empre</w:t>
                  </w:r>
                  <w:r>
                    <w:rPr>
                      <w:rFonts w:ascii="Book Antiqua" w:hAnsi="Book Antiqua" w:cs="Arial"/>
                      <w:szCs w:val="20"/>
                    </w:rPr>
                    <w:t>gados, as entidades colocarão a disposição das respectivas entidades sindicais, duas vezes por ano, local e meios para esse fim. Os períodos serão convencionados de comum acordo pelas partes e a atividade será desenvolvida no recinto da entidade, fora do a</w:t>
                  </w:r>
                  <w:r>
                    <w:rPr>
                      <w:rFonts w:ascii="Book Antiqua" w:hAnsi="Book Antiqua" w:cs="Arial"/>
                      <w:szCs w:val="20"/>
                    </w:rPr>
                    <w:t>mbiente de trabalho, em locais previamente autorizados e, preferencialmente, nos períodos de descanso da jornada normal de trabalho.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CONTRIBUIÇÃO ASSISTENCIAL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desconto da Contribuiçã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Assistencial será de 4% (quatro por cento) para os empregados </w:t>
                  </w: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NÃO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associados, em duas parcelas nos meses de novembro e dezembro de 2022. O recolhimento da contribuição será em favor do SEES ABC, importância esta a ser recolhida em conta vinculada sem lim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ite a instituição bancária.</w:t>
                  </w:r>
                </w:p>
                <w:p w:rsidR="00000000" w:rsidRDefault="00C83029">
                  <w:pPr>
                    <w:divId w:val="99287689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Mecanismos de Solução de Conflitos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SÉTIMA - GARANTIAS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 presente Norma Coletiva de Trabalho não prejudicará as condições mais favoráveis vigentes em Acordo Coletivo de Tr</w:t>
                  </w:r>
                  <w:r>
                    <w:rPr>
                      <w:rFonts w:ascii="Book Antiqua" w:hAnsi="Book Antiqua" w:cs="Arial"/>
                      <w:szCs w:val="20"/>
                    </w:rPr>
                    <w:t>abalho, firmado entre o Sindicato dos Metalúrgicos do ABC e entidade sindical representativa.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OITAVA - GARANTIA DO CUMPRIMENTO DAS OBRIGAÇÕES LEGAIS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>As partes comprometem-se a criar mecanismos pa</w:t>
                  </w:r>
                  <w:r>
                    <w:rPr>
                      <w:rFonts w:ascii="Book Antiqua" w:hAnsi="Book Antiqua" w:cs="Arial"/>
                      <w:szCs w:val="20"/>
                    </w:rPr>
                    <w:t>ritários para o cumprimento da legislação, convenções e dissídios coletivos.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Descumprimento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MULTA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TextosemFormatao"/>
                    <w:spacing w:before="0" w:beforeAutospacing="0" w:after="0" w:afterAutospacing="0"/>
                    <w:jc w:val="both"/>
                    <w:rPr>
                      <w:rFonts w:ascii="Book Antiqua" w:hAnsi="Book Antiqua" w:cs="Arial"/>
                      <w:szCs w:val="20"/>
                    </w:rPr>
                  </w:pPr>
                  <w:r>
                    <w:rPr>
                      <w:rFonts w:ascii="Book Antiqua" w:hAnsi="Book Antiqua" w:cs="Arial"/>
                      <w:szCs w:val="20"/>
                    </w:rPr>
                    <w:t xml:space="preserve">Estipulada multa de 1% do menor piso salarial, por infração e por trabalhador envolvido, em caso de </w:t>
                  </w:r>
                  <w:r>
                    <w:rPr>
                      <w:rFonts w:ascii="Book Antiqua" w:hAnsi="Book Antiqua" w:cs="Arial"/>
                      <w:szCs w:val="20"/>
                    </w:rPr>
                    <w:t>descumprimento de quaisquer cláusulas contidas nesta Norma Coletiva, revertendo o seu benefício em favor da parte prejudicada. Ficam excluídas desta penalidade as cláusulas que já possuem cominações específicas.</w:t>
                  </w:r>
                </w:p>
                <w:p w:rsidR="00000000" w:rsidRDefault="00C83029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2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C8302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EVERALDO ALVES DOS SANTOS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WELLINGTON MESSIAS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Diretor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METALURGICOS DO ABC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C830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C83029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C83029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    A autenticidade deste documento poderá ser confirmada na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C83029">
            <w:pPr>
              <w:rPr>
                <w:rFonts w:eastAsia="Times New Roman"/>
              </w:rPr>
            </w:pPr>
          </w:p>
        </w:tc>
      </w:tr>
    </w:tbl>
    <w:p w:rsidR="00C83029" w:rsidRDefault="00C83029">
      <w:pPr>
        <w:rPr>
          <w:rFonts w:eastAsia="Times New Roman"/>
        </w:rPr>
      </w:pPr>
    </w:p>
    <w:sectPr w:rsidR="00C83029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5020"/>
    <w:rsid w:val="00C83029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3BC19-E63F-4042-A89A-3289E049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Pr>
      <w:rFonts w:eastAsiaTheme="minorEastAsia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pPr>
      <w:spacing w:before="100" w:beforeAutospacing="1" w:after="100" w:afterAutospacing="1"/>
    </w:p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Pr>
      <w:rFonts w:ascii="Consolas" w:eastAsiaTheme="minorEastAsia" w:hAnsi="Consolas"/>
      <w:sz w:val="21"/>
      <w:szCs w:val="21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56696_20222022_10_31T10_34_2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3131</Words>
  <Characters>16912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20003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User</dc:creator>
  <cp:keywords/>
  <dc:description/>
  <cp:lastModifiedBy>User</cp:lastModifiedBy>
  <cp:revision>2</cp:revision>
  <dcterms:created xsi:type="dcterms:W3CDTF">2022-11-16T15:40:00Z</dcterms:created>
  <dcterms:modified xsi:type="dcterms:W3CDTF">2022-11-16T15:40:00Z</dcterms:modified>
</cp:coreProperties>
</file>